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0F24" w14:textId="77777777" w:rsidR="00BE4671" w:rsidRPr="00CD29A4" w:rsidRDefault="00BE4671" w:rsidP="00CD29A4">
      <w:pPr>
        <w:autoSpaceDE w:val="0"/>
        <w:autoSpaceDN w:val="0"/>
        <w:adjustRightInd w:val="0"/>
        <w:spacing w:after="0" w:line="240" w:lineRule="auto"/>
        <w:jc w:val="center"/>
        <w:rPr>
          <w:rFonts w:ascii="Times New Roman" w:hAnsi="Times New Roman" w:cs="Times New Roman"/>
          <w:b/>
          <w:bCs/>
          <w:sz w:val="28"/>
          <w:szCs w:val="28"/>
          <w:shd w:val="clear" w:color="auto" w:fill="FFFFFF"/>
        </w:rPr>
      </w:pPr>
      <w:r w:rsidRPr="00CD29A4">
        <w:rPr>
          <w:rFonts w:ascii="Times New Roman" w:hAnsi="Times New Roman" w:cs="Times New Roman"/>
          <w:b/>
          <w:bCs/>
          <w:sz w:val="28"/>
          <w:szCs w:val="28"/>
          <w:shd w:val="clear" w:color="auto" w:fill="FFFFFF"/>
        </w:rPr>
        <w:t>NON-PROFIT TAX COMPLIANCE</w:t>
      </w:r>
    </w:p>
    <w:p w14:paraId="0E6F91D0" w14:textId="77777777" w:rsidR="00CD29A4" w:rsidRDefault="00CD29A4" w:rsidP="00300146">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14:paraId="69399D75" w14:textId="77777777" w:rsidR="00CD29A4" w:rsidRPr="00D04A85" w:rsidRDefault="00CD29A4" w:rsidP="00300146">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D04A85">
        <w:rPr>
          <w:rFonts w:ascii="Times New Roman" w:hAnsi="Times New Roman" w:cs="Times New Roman"/>
          <w:b/>
          <w:bCs/>
          <w:sz w:val="24"/>
          <w:szCs w:val="24"/>
          <w:highlight w:val="lightGray"/>
          <w:shd w:val="clear" w:color="auto" w:fill="FFFFFF"/>
        </w:rPr>
        <w:t>FEDERAL INFORMATION RETURN</w:t>
      </w:r>
    </w:p>
    <w:p w14:paraId="625A7F3C" w14:textId="77777777" w:rsidR="00BE4671" w:rsidRPr="00300146" w:rsidRDefault="00BE4671" w:rsidP="003001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44D00E58" w14:textId="77777777" w:rsidR="00BE4671" w:rsidRPr="00C4401A" w:rsidRDefault="00BE4671" w:rsidP="0030014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00146">
        <w:rPr>
          <w:rFonts w:ascii="Times New Roman" w:hAnsi="Times New Roman" w:cs="Times New Roman"/>
          <w:sz w:val="24"/>
          <w:szCs w:val="24"/>
          <w:shd w:val="clear" w:color="auto" w:fill="FFFFFF"/>
        </w:rPr>
        <w:t xml:space="preserve">All tax-exempt organizations are required to file </w:t>
      </w:r>
      <w:r w:rsidR="00300146">
        <w:rPr>
          <w:rFonts w:ascii="Times New Roman" w:hAnsi="Times New Roman" w:cs="Times New Roman"/>
          <w:sz w:val="24"/>
          <w:szCs w:val="24"/>
          <w:shd w:val="clear" w:color="auto" w:fill="FFFFFF"/>
        </w:rPr>
        <w:t>annual information returns</w:t>
      </w:r>
      <w:r w:rsidRPr="00300146">
        <w:rPr>
          <w:rFonts w:ascii="Times New Roman" w:hAnsi="Times New Roman" w:cs="Times New Roman"/>
          <w:sz w:val="24"/>
          <w:szCs w:val="24"/>
          <w:shd w:val="clear" w:color="auto" w:fill="FFFFFF"/>
        </w:rPr>
        <w:t xml:space="preserve"> with the Internal Revenue Service (IRS). These forms are known as 990, 990-EZ, 990-N</w:t>
      </w:r>
      <w:r w:rsidR="00E6471C" w:rsidRPr="00300146">
        <w:rPr>
          <w:rFonts w:ascii="Times New Roman" w:hAnsi="Times New Roman" w:cs="Times New Roman"/>
          <w:sz w:val="24"/>
          <w:szCs w:val="24"/>
          <w:shd w:val="clear" w:color="auto" w:fill="FFFFFF"/>
        </w:rPr>
        <w:t xml:space="preserve"> or 990-PF</w:t>
      </w:r>
      <w:r w:rsidRPr="00300146">
        <w:rPr>
          <w:rFonts w:ascii="Times New Roman" w:hAnsi="Times New Roman" w:cs="Times New Roman"/>
          <w:sz w:val="24"/>
          <w:szCs w:val="24"/>
          <w:shd w:val="clear" w:color="auto" w:fill="FFFFFF"/>
        </w:rPr>
        <w:t xml:space="preserve">. You need to file them to make sure your non-profit remains compliant with IRS rules — this means you can </w:t>
      </w:r>
      <w:r w:rsidRPr="00C4401A">
        <w:rPr>
          <w:rFonts w:ascii="Times New Roman" w:hAnsi="Times New Roman" w:cs="Times New Roman"/>
          <w:sz w:val="24"/>
          <w:szCs w:val="24"/>
          <w:shd w:val="clear" w:color="auto" w:fill="FFFFFF"/>
        </w:rPr>
        <w:t>maintain your 501(c)(3) tax exempt status.</w:t>
      </w:r>
    </w:p>
    <w:p w14:paraId="7CC30EDF" w14:textId="77777777" w:rsidR="00300146" w:rsidRPr="00C4401A" w:rsidRDefault="00300146" w:rsidP="003001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621E7719" w14:textId="77777777" w:rsidR="00300146" w:rsidRPr="00C4401A" w:rsidRDefault="00C4401A" w:rsidP="0030014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4401A">
        <w:rPr>
          <w:rFonts w:ascii="Times New Roman" w:hAnsi="Times New Roman" w:cs="Times New Roman"/>
          <w:sz w:val="24"/>
          <w:szCs w:val="24"/>
          <w:shd w:val="clear" w:color="auto" w:fill="FFFFFF"/>
        </w:rPr>
        <w:t>T</w:t>
      </w:r>
      <w:r w:rsidR="00300146" w:rsidRPr="00C4401A">
        <w:rPr>
          <w:rFonts w:ascii="Times New Roman" w:hAnsi="Times New Roman" w:cs="Times New Roman"/>
          <w:sz w:val="24"/>
          <w:szCs w:val="24"/>
          <w:shd w:val="clear" w:color="auto" w:fill="FFFFFF"/>
        </w:rPr>
        <w:t>he </w:t>
      </w:r>
      <w:hyperlink r:id="rId5" w:tgtFrame="_blank" w:history="1">
        <w:r w:rsidR="00300146" w:rsidRPr="00C4401A">
          <w:rPr>
            <w:rStyle w:val="Hyperlink"/>
            <w:rFonts w:ascii="Times New Roman" w:hAnsi="Times New Roman" w:cs="Times New Roman"/>
            <w:color w:val="auto"/>
            <w:sz w:val="24"/>
            <w:szCs w:val="24"/>
            <w:u w:val="none"/>
            <w:bdr w:val="none" w:sz="0" w:space="0" w:color="auto" w:frame="1"/>
            <w:shd w:val="clear" w:color="auto" w:fill="FFFFFF"/>
          </w:rPr>
          <w:t>IRS requires</w:t>
        </w:r>
      </w:hyperlink>
      <w:r w:rsidR="00300146" w:rsidRPr="00C4401A">
        <w:rPr>
          <w:rFonts w:ascii="Times New Roman" w:hAnsi="Times New Roman" w:cs="Times New Roman"/>
          <w:sz w:val="24"/>
          <w:szCs w:val="24"/>
          <w:shd w:val="clear" w:color="auto" w:fill="FFFFFF"/>
        </w:rPr>
        <w:t> all U.S. tax-exempt nonprofits to make public their three most recent </w:t>
      </w:r>
      <w:hyperlink r:id="rId6" w:history="1">
        <w:r w:rsidR="00300146" w:rsidRPr="00C4401A">
          <w:rPr>
            <w:rStyle w:val="Hyperlink"/>
            <w:rFonts w:ascii="Times New Roman" w:hAnsi="Times New Roman" w:cs="Times New Roman"/>
            <w:color w:val="auto"/>
            <w:sz w:val="24"/>
            <w:szCs w:val="24"/>
            <w:u w:val="none"/>
            <w:bdr w:val="none" w:sz="0" w:space="0" w:color="auto" w:frame="1"/>
            <w:shd w:val="clear" w:color="auto" w:fill="FFFFFF"/>
          </w:rPr>
          <w:t>Form 990 or 990-PF</w:t>
        </w:r>
      </w:hyperlink>
      <w:r w:rsidR="00300146" w:rsidRPr="00C4401A">
        <w:rPr>
          <w:rFonts w:ascii="Times New Roman" w:hAnsi="Times New Roman" w:cs="Times New Roman"/>
          <w:sz w:val="24"/>
          <w:szCs w:val="24"/>
          <w:shd w:val="clear" w:color="auto" w:fill="FFFFFF"/>
        </w:rPr>
        <w:t> annual returns and all related supporting documents.</w:t>
      </w:r>
      <w:r w:rsidRPr="00C4401A">
        <w:rPr>
          <w:rFonts w:ascii="Times New Roman" w:hAnsi="Times New Roman" w:cs="Times New Roman"/>
          <w:sz w:val="24"/>
          <w:szCs w:val="24"/>
          <w:shd w:val="clear" w:color="auto" w:fill="FFFFFF"/>
        </w:rPr>
        <w:t xml:space="preserve"> As a public document, it is also subject to scrutiny by regulators, media, and the general public, including potential donors.</w:t>
      </w:r>
    </w:p>
    <w:p w14:paraId="45CBDE1C" w14:textId="77777777" w:rsidR="00E6471C" w:rsidRPr="00300146" w:rsidRDefault="00E6471C" w:rsidP="003001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3914C4D2" w14:textId="77777777" w:rsidR="00E6471C" w:rsidRPr="00300146" w:rsidRDefault="00E6471C" w:rsidP="0030014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00146">
        <w:rPr>
          <w:rFonts w:ascii="Times New Roman" w:hAnsi="Times New Roman" w:cs="Times New Roman"/>
          <w:sz w:val="24"/>
          <w:szCs w:val="24"/>
          <w:shd w:val="clear" w:color="auto" w:fill="FFFFFF"/>
        </w:rPr>
        <w:t>The specific form you need to fill in and file depends on the level of “Gross Receipts,” and the total value of the assets of your non-profit.</w:t>
      </w:r>
    </w:p>
    <w:p w14:paraId="6CCF6E4C" w14:textId="77777777" w:rsidR="00BE4671" w:rsidRPr="00300146" w:rsidRDefault="00BE4671" w:rsidP="00300146">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14:paraId="6CC75AC9" w14:textId="77777777" w:rsidR="00BE4671" w:rsidRPr="00300146" w:rsidRDefault="00300146" w:rsidP="00300146">
      <w:pPr>
        <w:autoSpaceDE w:val="0"/>
        <w:autoSpaceDN w:val="0"/>
        <w:adjustRightInd w:val="0"/>
        <w:spacing w:after="0" w:line="240" w:lineRule="auto"/>
        <w:jc w:val="both"/>
        <w:rPr>
          <w:rFonts w:ascii="Times New Roman" w:hAnsi="Times New Roman" w:cs="Times New Roman"/>
          <w:b/>
          <w:bCs/>
          <w:sz w:val="24"/>
          <w:szCs w:val="24"/>
          <w:u w:val="single"/>
          <w:shd w:val="clear" w:color="auto" w:fill="FFFFFF"/>
        </w:rPr>
      </w:pPr>
      <w:r w:rsidRPr="00300146">
        <w:rPr>
          <w:rFonts w:ascii="Times New Roman" w:hAnsi="Times New Roman" w:cs="Times New Roman"/>
          <w:b/>
          <w:bCs/>
          <w:sz w:val="24"/>
          <w:szCs w:val="24"/>
          <w:u w:val="single"/>
          <w:shd w:val="clear" w:color="auto" w:fill="FFFFFF"/>
        </w:rPr>
        <w:t>Form</w:t>
      </w:r>
      <w:r w:rsidR="00BE4671" w:rsidRPr="00300146">
        <w:rPr>
          <w:rFonts w:ascii="Times New Roman" w:hAnsi="Times New Roman" w:cs="Times New Roman"/>
          <w:b/>
          <w:bCs/>
          <w:sz w:val="24"/>
          <w:szCs w:val="24"/>
          <w:u w:val="single"/>
          <w:shd w:val="clear" w:color="auto" w:fill="FFFFFF"/>
        </w:rPr>
        <w:t xml:space="preserve"> 990 </w:t>
      </w:r>
      <w:r w:rsidRPr="00300146">
        <w:rPr>
          <w:rFonts w:ascii="Times New Roman" w:hAnsi="Times New Roman" w:cs="Times New Roman"/>
          <w:b/>
          <w:bCs/>
          <w:sz w:val="24"/>
          <w:szCs w:val="24"/>
          <w:u w:val="single"/>
          <w:shd w:val="clear" w:color="auto" w:fill="FFFFFF"/>
        </w:rPr>
        <w:t>Series</w:t>
      </w:r>
      <w:r w:rsidR="00BE4671" w:rsidRPr="00300146">
        <w:rPr>
          <w:rFonts w:ascii="Times New Roman" w:hAnsi="Times New Roman" w:cs="Times New Roman"/>
          <w:b/>
          <w:bCs/>
          <w:sz w:val="24"/>
          <w:szCs w:val="24"/>
          <w:u w:val="single"/>
          <w:shd w:val="clear" w:color="auto" w:fill="FFFFFF"/>
        </w:rPr>
        <w:t xml:space="preserve">: </w:t>
      </w:r>
    </w:p>
    <w:p w14:paraId="36F2B08E" w14:textId="77777777" w:rsidR="00BE4671" w:rsidRPr="00300146" w:rsidRDefault="00BE4671" w:rsidP="0030014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00146">
        <w:rPr>
          <w:rFonts w:ascii="Times New Roman" w:hAnsi="Times New Roman" w:cs="Times New Roman"/>
          <w:sz w:val="24"/>
          <w:szCs w:val="24"/>
        </w:rPr>
        <w:t>Form 990 - Gross receipts ≥ $200,000 and Total assets ≥ $500,000</w:t>
      </w:r>
    </w:p>
    <w:p w14:paraId="176C01D8" w14:textId="77777777" w:rsidR="00BE4671" w:rsidRPr="00300146" w:rsidRDefault="00BE4671" w:rsidP="0030014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00146">
        <w:rPr>
          <w:rFonts w:ascii="Times New Roman" w:hAnsi="Times New Roman" w:cs="Times New Roman"/>
          <w:sz w:val="24"/>
          <w:szCs w:val="24"/>
        </w:rPr>
        <w:t xml:space="preserve">Form 990-EZ - </w:t>
      </w:r>
      <w:r w:rsidRPr="00300146">
        <w:rPr>
          <w:rFonts w:ascii="Times New Roman" w:hAnsi="Times New Roman" w:cs="Times New Roman"/>
          <w:sz w:val="24"/>
          <w:szCs w:val="24"/>
          <w:shd w:val="clear" w:color="auto" w:fill="FFFFFF"/>
        </w:rPr>
        <w:t>Gross receipts &lt; $200,000, and</w:t>
      </w:r>
      <w:r w:rsidRPr="00300146">
        <w:rPr>
          <w:rFonts w:ascii="Times New Roman" w:hAnsi="Times New Roman" w:cs="Times New Roman"/>
          <w:sz w:val="24"/>
          <w:szCs w:val="24"/>
        </w:rPr>
        <w:t xml:space="preserve"> </w:t>
      </w:r>
      <w:r w:rsidRPr="00300146">
        <w:rPr>
          <w:rFonts w:ascii="Times New Roman" w:hAnsi="Times New Roman" w:cs="Times New Roman"/>
          <w:sz w:val="24"/>
          <w:szCs w:val="24"/>
          <w:shd w:val="clear" w:color="auto" w:fill="FFFFFF"/>
        </w:rPr>
        <w:t>Total assets &lt; $500,000</w:t>
      </w:r>
    </w:p>
    <w:p w14:paraId="258F6F2C" w14:textId="77777777" w:rsidR="00BE4671" w:rsidRPr="00300146" w:rsidRDefault="00BE4671" w:rsidP="0030014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00146">
        <w:rPr>
          <w:rFonts w:ascii="Times New Roman" w:hAnsi="Times New Roman" w:cs="Times New Roman"/>
          <w:sz w:val="24"/>
          <w:szCs w:val="24"/>
        </w:rPr>
        <w:t xml:space="preserve">Form 990-N </w:t>
      </w:r>
      <w:r w:rsidRPr="00300146">
        <w:rPr>
          <w:rFonts w:ascii="Times New Roman" w:hAnsi="Times New Roman" w:cs="Times New Roman"/>
          <w:i/>
          <w:iCs/>
          <w:sz w:val="24"/>
          <w:szCs w:val="24"/>
        </w:rPr>
        <w:t xml:space="preserve">Postcard </w:t>
      </w:r>
      <w:r w:rsidRPr="00300146">
        <w:rPr>
          <w:rFonts w:ascii="Times New Roman" w:hAnsi="Times New Roman" w:cs="Times New Roman"/>
          <w:sz w:val="24"/>
          <w:szCs w:val="24"/>
        </w:rPr>
        <w:t xml:space="preserve">– </w:t>
      </w:r>
      <w:r w:rsidRPr="00300146">
        <w:rPr>
          <w:rFonts w:ascii="Times New Roman" w:hAnsi="Times New Roman" w:cs="Times New Roman"/>
          <w:sz w:val="24"/>
          <w:szCs w:val="24"/>
          <w:shd w:val="clear" w:color="auto" w:fill="FFFFFF"/>
        </w:rPr>
        <w:t>Gross receipts normally ≤ $50,000</w:t>
      </w:r>
    </w:p>
    <w:p w14:paraId="0AA8AB34" w14:textId="77777777" w:rsidR="00BE4671" w:rsidRPr="00300146" w:rsidRDefault="00BE4671" w:rsidP="0030014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00146">
        <w:rPr>
          <w:rFonts w:ascii="Times New Roman" w:hAnsi="Times New Roman" w:cs="Times New Roman"/>
          <w:sz w:val="24"/>
          <w:szCs w:val="24"/>
        </w:rPr>
        <w:t>Form 990-PF – for private foundations only regardless of financial status</w:t>
      </w:r>
    </w:p>
    <w:p w14:paraId="03BC908F" w14:textId="77777777" w:rsidR="00BE4671" w:rsidRPr="00300146" w:rsidRDefault="00BE4671" w:rsidP="0030014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00146">
        <w:rPr>
          <w:rFonts w:ascii="Times New Roman" w:hAnsi="Times New Roman" w:cs="Times New Roman"/>
          <w:sz w:val="24"/>
          <w:szCs w:val="24"/>
        </w:rPr>
        <w:t xml:space="preserve">Form 990-T – </w:t>
      </w:r>
      <w:r w:rsidR="00E6471C" w:rsidRPr="00300146">
        <w:rPr>
          <w:rFonts w:ascii="Times New Roman" w:hAnsi="Times New Roman" w:cs="Times New Roman"/>
          <w:sz w:val="24"/>
          <w:szCs w:val="24"/>
        </w:rPr>
        <w:t xml:space="preserve">for </w:t>
      </w:r>
      <w:r w:rsidRPr="00300146">
        <w:rPr>
          <w:rFonts w:ascii="Times New Roman" w:hAnsi="Times New Roman" w:cs="Times New Roman"/>
          <w:sz w:val="24"/>
          <w:szCs w:val="24"/>
        </w:rPr>
        <w:t>unrelated taxable income</w:t>
      </w:r>
    </w:p>
    <w:p w14:paraId="740266EF" w14:textId="77777777" w:rsidR="00300146" w:rsidRPr="00300146" w:rsidRDefault="00300146" w:rsidP="00300146">
      <w:pPr>
        <w:autoSpaceDE w:val="0"/>
        <w:autoSpaceDN w:val="0"/>
        <w:adjustRightInd w:val="0"/>
        <w:spacing w:after="0" w:line="240" w:lineRule="auto"/>
        <w:jc w:val="both"/>
        <w:rPr>
          <w:rFonts w:ascii="Times New Roman" w:hAnsi="Times New Roman" w:cs="Times New Roman"/>
          <w:b/>
          <w:bCs/>
          <w:sz w:val="24"/>
          <w:szCs w:val="24"/>
          <w:u w:val="single"/>
        </w:rPr>
      </w:pPr>
    </w:p>
    <w:p w14:paraId="1B33C661" w14:textId="77777777" w:rsidR="00300146" w:rsidRPr="00300146" w:rsidRDefault="00300146" w:rsidP="00300146">
      <w:pPr>
        <w:autoSpaceDE w:val="0"/>
        <w:autoSpaceDN w:val="0"/>
        <w:adjustRightInd w:val="0"/>
        <w:spacing w:after="0" w:line="240" w:lineRule="auto"/>
        <w:jc w:val="both"/>
        <w:rPr>
          <w:rFonts w:ascii="Times New Roman" w:hAnsi="Times New Roman" w:cs="Times New Roman"/>
          <w:b/>
          <w:bCs/>
          <w:sz w:val="24"/>
          <w:szCs w:val="24"/>
          <w:u w:val="single"/>
        </w:rPr>
      </w:pPr>
      <w:r w:rsidRPr="00300146">
        <w:rPr>
          <w:rFonts w:ascii="Times New Roman" w:hAnsi="Times New Roman" w:cs="Times New Roman"/>
          <w:b/>
          <w:bCs/>
          <w:sz w:val="24"/>
          <w:szCs w:val="24"/>
          <w:u w:val="single"/>
        </w:rPr>
        <w:t xml:space="preserve">Filing </w:t>
      </w:r>
      <w:r>
        <w:rPr>
          <w:rFonts w:ascii="Times New Roman" w:hAnsi="Times New Roman" w:cs="Times New Roman"/>
          <w:b/>
          <w:bCs/>
          <w:sz w:val="24"/>
          <w:szCs w:val="24"/>
          <w:u w:val="single"/>
        </w:rPr>
        <w:t>D</w:t>
      </w:r>
      <w:r w:rsidRPr="00300146">
        <w:rPr>
          <w:rFonts w:ascii="Times New Roman" w:hAnsi="Times New Roman" w:cs="Times New Roman"/>
          <w:b/>
          <w:bCs/>
          <w:sz w:val="24"/>
          <w:szCs w:val="24"/>
          <w:u w:val="single"/>
        </w:rPr>
        <w:t>eadline:</w:t>
      </w:r>
    </w:p>
    <w:p w14:paraId="2C4E2BEA" w14:textId="13FD5BCD" w:rsidR="00300146" w:rsidRPr="00300146" w:rsidRDefault="00E6471C" w:rsidP="00300146">
      <w:pPr>
        <w:shd w:val="clear" w:color="auto" w:fill="FFFFFF"/>
        <w:spacing w:after="330" w:line="240" w:lineRule="auto"/>
        <w:jc w:val="both"/>
        <w:outlineLvl w:val="0"/>
        <w:rPr>
          <w:rFonts w:ascii="Times New Roman" w:hAnsi="Times New Roman" w:cs="Times New Roman"/>
          <w:sz w:val="24"/>
          <w:szCs w:val="24"/>
          <w:shd w:val="clear" w:color="auto" w:fill="FFFFFF"/>
        </w:rPr>
      </w:pPr>
      <w:r w:rsidRPr="00300146">
        <w:rPr>
          <w:rFonts w:ascii="Times New Roman" w:hAnsi="Times New Roman" w:cs="Times New Roman"/>
          <w:sz w:val="24"/>
          <w:szCs w:val="24"/>
          <w:shd w:val="clear" w:color="auto" w:fill="FFFFFF"/>
        </w:rPr>
        <w:t>The due date for filing is the 15th day of the 5th month following the end of the organization’s fiscal year. For a 501(c) with a fiscal year ending December 31, the filing due date is May 15. One six-month extension is allowed</w:t>
      </w:r>
      <w:r w:rsidR="00880822">
        <w:rPr>
          <w:rFonts w:ascii="Times New Roman" w:hAnsi="Times New Roman" w:cs="Times New Roman"/>
          <w:sz w:val="24"/>
          <w:szCs w:val="24"/>
          <w:shd w:val="clear" w:color="auto" w:fill="FFFFFF"/>
        </w:rPr>
        <w:t>,</w:t>
      </w:r>
      <w:r w:rsidR="00300146">
        <w:rPr>
          <w:rFonts w:ascii="Times New Roman" w:hAnsi="Times New Roman" w:cs="Times New Roman"/>
          <w:sz w:val="24"/>
          <w:szCs w:val="24"/>
          <w:shd w:val="clear" w:color="auto" w:fill="FFFFFF"/>
        </w:rPr>
        <w:t xml:space="preserve"> if filed prior to the original due date.</w:t>
      </w:r>
    </w:p>
    <w:p w14:paraId="4DF77E15" w14:textId="77777777" w:rsidR="00300146" w:rsidRDefault="00300146" w:rsidP="00300146">
      <w:pPr>
        <w:pStyle w:val="Heading2"/>
        <w:shd w:val="clear" w:color="auto" w:fill="FFFFFF"/>
        <w:spacing w:before="120" w:after="75"/>
        <w:jc w:val="both"/>
        <w:rPr>
          <w:rFonts w:ascii="Times New Roman" w:hAnsi="Times New Roman" w:cs="Times New Roman"/>
          <w:b/>
          <w:bCs/>
          <w:color w:val="auto"/>
          <w:sz w:val="24"/>
          <w:szCs w:val="24"/>
          <w:u w:val="single"/>
        </w:rPr>
      </w:pPr>
      <w:r w:rsidRPr="00300146">
        <w:rPr>
          <w:rFonts w:ascii="Times New Roman" w:hAnsi="Times New Roman" w:cs="Times New Roman"/>
          <w:b/>
          <w:bCs/>
          <w:color w:val="auto"/>
          <w:sz w:val="24"/>
          <w:szCs w:val="24"/>
          <w:u w:val="single"/>
        </w:rPr>
        <w:t>Penalties for Not Filing Form 990 on Time</w:t>
      </w:r>
    </w:p>
    <w:p w14:paraId="2314FD27" w14:textId="16F84D2D" w:rsidR="00B02BCB" w:rsidRDefault="00300146" w:rsidP="00300146">
      <w:pPr>
        <w:shd w:val="clear" w:color="auto" w:fill="FFFFFF"/>
        <w:spacing w:after="330" w:line="240" w:lineRule="auto"/>
        <w:jc w:val="both"/>
        <w:outlineLvl w:val="0"/>
        <w:rPr>
          <w:rFonts w:ascii="Times New Roman" w:hAnsi="Times New Roman" w:cs="Times New Roman"/>
          <w:sz w:val="24"/>
          <w:szCs w:val="24"/>
          <w:shd w:val="clear" w:color="auto" w:fill="FFFFFF"/>
        </w:rPr>
      </w:pPr>
      <w:r w:rsidRPr="00300146">
        <w:rPr>
          <w:rFonts w:ascii="Times New Roman" w:hAnsi="Times New Roman" w:cs="Times New Roman"/>
          <w:sz w:val="24"/>
          <w:szCs w:val="24"/>
          <w:shd w:val="clear" w:color="auto" w:fill="FFFFFF"/>
        </w:rPr>
        <w:t>If a non-profit organization doesn’t file a Form 990 annual return or files late, the IRS may assess a penalty of $20 per day, up to the lesser of $10,000 or 5% of that year’s gross revenue plus interest. If an organization does not file as required for three consecutive years, it will automatically lose its tax-exempt status.</w:t>
      </w:r>
    </w:p>
    <w:p w14:paraId="7FECE26B" w14:textId="36EEAD44" w:rsidR="00B02BCB" w:rsidRPr="00300146" w:rsidRDefault="00B02BCB" w:rsidP="00300146">
      <w:pPr>
        <w:shd w:val="clear" w:color="auto" w:fill="FFFFFF"/>
        <w:spacing w:after="330" w:line="240" w:lineRule="auto"/>
        <w:jc w:val="both"/>
        <w:outlineLvl w:val="0"/>
        <w:rPr>
          <w:rFonts w:ascii="Times New Roman" w:eastAsia="Times New Roman" w:hAnsi="Times New Roman" w:cs="Times New Roman"/>
          <w:b/>
          <w:bCs/>
          <w:kern w:val="36"/>
          <w:sz w:val="24"/>
          <w:szCs w:val="24"/>
        </w:rPr>
      </w:pPr>
      <w:r w:rsidRPr="00D04A85">
        <w:rPr>
          <w:rFonts w:ascii="Times New Roman" w:eastAsia="Times New Roman" w:hAnsi="Times New Roman" w:cs="Times New Roman"/>
          <w:b/>
          <w:bCs/>
          <w:kern w:val="36"/>
          <w:sz w:val="24"/>
          <w:szCs w:val="24"/>
          <w:highlight w:val="yellow"/>
        </w:rPr>
        <w:t>NEW ISSUES</w:t>
      </w:r>
    </w:p>
    <w:p w14:paraId="42AD0C6B" w14:textId="77777777" w:rsidR="00A30957" w:rsidRPr="000E786F" w:rsidRDefault="00A30957" w:rsidP="00300146">
      <w:pPr>
        <w:shd w:val="clear" w:color="auto" w:fill="FFFFFF"/>
        <w:spacing w:after="330" w:line="240" w:lineRule="auto"/>
        <w:jc w:val="both"/>
        <w:outlineLvl w:val="0"/>
        <w:rPr>
          <w:rFonts w:ascii="Times New Roman" w:eastAsia="Times New Roman" w:hAnsi="Times New Roman" w:cs="Times New Roman"/>
          <w:b/>
          <w:bCs/>
          <w:kern w:val="36"/>
          <w:sz w:val="24"/>
          <w:szCs w:val="24"/>
          <w:u w:val="single"/>
        </w:rPr>
      </w:pPr>
      <w:r w:rsidRPr="000E786F">
        <w:rPr>
          <w:rFonts w:ascii="Times New Roman" w:eastAsia="Times New Roman" w:hAnsi="Times New Roman" w:cs="Times New Roman"/>
          <w:b/>
          <w:bCs/>
          <w:kern w:val="36"/>
          <w:sz w:val="24"/>
          <w:szCs w:val="24"/>
          <w:u w:val="single"/>
        </w:rPr>
        <w:t>Interim Guidance on Parking Expense</w:t>
      </w:r>
    </w:p>
    <w:p w14:paraId="6EF5FC83" w14:textId="77777777" w:rsidR="000E786F" w:rsidRDefault="000E786F" w:rsidP="00300146">
      <w:pPr>
        <w:shd w:val="clear" w:color="auto" w:fill="FFFFFF"/>
        <w:spacing w:after="330" w:line="240" w:lineRule="auto"/>
        <w:jc w:val="both"/>
        <w:outlineLvl w:val="0"/>
        <w:rPr>
          <w:rFonts w:ascii="Times New Roman" w:hAnsi="Times New Roman" w:cs="Times New Roman"/>
          <w:sz w:val="24"/>
          <w:szCs w:val="24"/>
          <w:shd w:val="clear" w:color="auto" w:fill="FFFFFF"/>
        </w:rPr>
      </w:pPr>
      <w:r w:rsidRPr="000E786F">
        <w:rPr>
          <w:rFonts w:ascii="Times New Roman" w:hAnsi="Times New Roman" w:cs="Times New Roman"/>
          <w:sz w:val="24"/>
          <w:szCs w:val="24"/>
          <w:shd w:val="clear" w:color="auto" w:fill="FFFFFF"/>
        </w:rPr>
        <w:t>The 2017 tax reform act (the Act) enacted Section 512(a)(7), which provides that a tax-exempt organization’s unrelated business taxable income (UBTI) is increased by the amount of expenses incurred for providing qualified transportation fringe benefits (QTF) to employees, including qualified parking benefits, if the expenses would be nondeductible by a taxable employer under Section 274.   </w:t>
      </w:r>
    </w:p>
    <w:p w14:paraId="22D57755" w14:textId="52E2EF78" w:rsidR="00C66D84" w:rsidRPr="00B02BCB" w:rsidRDefault="00C66D84" w:rsidP="00300146">
      <w:pPr>
        <w:shd w:val="clear" w:color="auto" w:fill="FFFFFF"/>
        <w:spacing w:after="330" w:line="240" w:lineRule="auto"/>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w:t>
      </w:r>
      <w:r w:rsidR="00A30957" w:rsidRPr="00C66D84">
        <w:rPr>
          <w:rFonts w:ascii="Times New Roman" w:hAnsi="Times New Roman" w:cs="Times New Roman"/>
          <w:sz w:val="24"/>
          <w:szCs w:val="24"/>
          <w:shd w:val="clear" w:color="auto" w:fill="FFFFFF"/>
        </w:rPr>
        <w:t xml:space="preserve"> Treasury Department and Internal Revenue Service </w:t>
      </w:r>
      <w:r>
        <w:rPr>
          <w:rFonts w:ascii="Times New Roman" w:hAnsi="Times New Roman" w:cs="Times New Roman"/>
          <w:sz w:val="24"/>
          <w:szCs w:val="24"/>
          <w:shd w:val="clear" w:color="auto" w:fill="FFFFFF"/>
        </w:rPr>
        <w:t xml:space="preserve">recently </w:t>
      </w:r>
      <w:r w:rsidR="00A30957" w:rsidRPr="00C66D84">
        <w:rPr>
          <w:rFonts w:ascii="Times New Roman" w:hAnsi="Times New Roman" w:cs="Times New Roman"/>
          <w:sz w:val="24"/>
          <w:szCs w:val="24"/>
          <w:shd w:val="clear" w:color="auto" w:fill="FFFFFF"/>
        </w:rPr>
        <w:t xml:space="preserve">issued </w:t>
      </w:r>
      <w:r w:rsidRPr="00C66D84">
        <w:rPr>
          <w:rFonts w:ascii="Times New Roman" w:hAnsi="Times New Roman" w:cs="Times New Roman"/>
          <w:sz w:val="24"/>
          <w:szCs w:val="24"/>
          <w:shd w:val="clear" w:color="auto" w:fill="FFFFFF"/>
        </w:rPr>
        <w:t>Notice 2018-99, “Notice”,</w:t>
      </w:r>
      <w:r>
        <w:rPr>
          <w:rFonts w:ascii="Times New Roman" w:hAnsi="Times New Roman" w:cs="Times New Roman"/>
          <w:sz w:val="24"/>
          <w:szCs w:val="24"/>
          <w:shd w:val="clear" w:color="auto" w:fill="FFFFFF"/>
        </w:rPr>
        <w:t xml:space="preserve"> which provides</w:t>
      </w:r>
      <w:r w:rsidRPr="00C66D84">
        <w:rPr>
          <w:rFonts w:ascii="Times New Roman" w:hAnsi="Times New Roman" w:cs="Times New Roman"/>
          <w:sz w:val="24"/>
          <w:szCs w:val="24"/>
          <w:shd w:val="clear" w:color="auto" w:fill="FFFFFF"/>
        </w:rPr>
        <w:t> </w:t>
      </w:r>
      <w:r w:rsidR="00A30957" w:rsidRPr="00C66D84">
        <w:rPr>
          <w:rFonts w:ascii="Times New Roman" w:hAnsi="Times New Roman" w:cs="Times New Roman"/>
          <w:sz w:val="24"/>
          <w:szCs w:val="24"/>
          <w:shd w:val="clear" w:color="auto" w:fill="FFFFFF"/>
        </w:rPr>
        <w:t>the first guidance</w:t>
      </w:r>
      <w:r>
        <w:rPr>
          <w:rFonts w:ascii="Times New Roman" w:hAnsi="Times New Roman" w:cs="Times New Roman"/>
          <w:sz w:val="24"/>
          <w:szCs w:val="24"/>
          <w:shd w:val="clear" w:color="auto" w:fill="FFFFFF"/>
        </w:rPr>
        <w:t xml:space="preserve"> </w:t>
      </w:r>
      <w:r w:rsidR="00A30957" w:rsidRPr="00C66D84">
        <w:rPr>
          <w:rFonts w:ascii="Times New Roman" w:hAnsi="Times New Roman" w:cs="Times New Roman"/>
          <w:sz w:val="24"/>
          <w:szCs w:val="24"/>
          <w:shd w:val="clear" w:color="auto" w:fill="FFFFFF"/>
        </w:rPr>
        <w:t>to determine the amount of parking expenses considered qualified transportation fringes that are disallowed as a deduction for businesses and considered unrelated business income to tax-exempt organizations.</w:t>
      </w:r>
    </w:p>
    <w:p w14:paraId="0328CA88" w14:textId="3E39C146" w:rsidR="00C66D84" w:rsidRPr="00B02BCB" w:rsidRDefault="00C66D84" w:rsidP="00C66D84">
      <w:pPr>
        <w:pStyle w:val="NormalWeb"/>
        <w:shd w:val="clear" w:color="auto" w:fill="FFFFFF"/>
        <w:spacing w:before="0" w:beforeAutospacing="0" w:after="0" w:afterAutospacing="0"/>
      </w:pPr>
      <w:r w:rsidRPr="00B02BCB">
        <w:t>Of particular importance, the guidance clarifies that the </w:t>
      </w:r>
      <w:r w:rsidRPr="00B02BCB">
        <w:rPr>
          <w:rStyle w:val="Strong"/>
          <w:u w:val="single"/>
        </w:rPr>
        <w:t>cost </w:t>
      </w:r>
      <w:r w:rsidRPr="00B02BCB">
        <w:t xml:space="preserve">of providing parking to employees rather than the value associated with the parking is the basis for the disallowance. </w:t>
      </w:r>
    </w:p>
    <w:p w14:paraId="4EEE6D4A" w14:textId="77777777" w:rsidR="00C66D84" w:rsidRPr="00B02BCB" w:rsidRDefault="00C66D84" w:rsidP="00C66D84">
      <w:pPr>
        <w:pStyle w:val="NormalWeb"/>
        <w:shd w:val="clear" w:color="auto" w:fill="FFFFFF"/>
        <w:spacing w:before="375" w:beforeAutospacing="0" w:after="300" w:afterAutospacing="0"/>
      </w:pPr>
      <w:r w:rsidRPr="00B02BCB">
        <w:t>These provisions cover employers that provide qualified parking either in kind, through a bona fide cash reimbursement arrangement or through a compensation reduction arrangement.</w:t>
      </w:r>
    </w:p>
    <w:p w14:paraId="3888E697" w14:textId="21DCED48" w:rsidR="00CD29A4" w:rsidRPr="00B02BCB" w:rsidRDefault="00B02BCB" w:rsidP="00CD29A4">
      <w:pPr>
        <w:jc w:val="both"/>
        <w:rPr>
          <w:rFonts w:ascii="Times New Roman" w:hAnsi="Times New Roman" w:cs="Times New Roman"/>
          <w:b/>
          <w:bCs/>
          <w:sz w:val="24"/>
          <w:szCs w:val="24"/>
        </w:rPr>
      </w:pPr>
      <w:r w:rsidRPr="00B02BCB">
        <w:rPr>
          <w:rFonts w:ascii="Times New Roman" w:hAnsi="Times New Roman" w:cs="Times New Roman"/>
          <w:sz w:val="24"/>
          <w:szCs w:val="24"/>
          <w:shd w:val="clear" w:color="auto" w:fill="FFFFFF"/>
        </w:rPr>
        <w:t>T</w:t>
      </w:r>
      <w:r w:rsidRPr="00B02BCB">
        <w:rPr>
          <w:rFonts w:ascii="Times New Roman" w:hAnsi="Times New Roman" w:cs="Times New Roman"/>
          <w:sz w:val="24"/>
          <w:szCs w:val="24"/>
          <w:shd w:val="clear" w:color="auto" w:fill="FFFFFF"/>
        </w:rPr>
        <w:t xml:space="preserve">he Notice outlines the exceptions to the disallowance of a deduction for QTF expenses, such as expenses related to parking facilities made available primarily to the general public, that are not included in </w:t>
      </w:r>
      <w:r>
        <w:rPr>
          <w:rFonts w:ascii="Times New Roman" w:hAnsi="Times New Roman" w:cs="Times New Roman"/>
          <w:sz w:val="24"/>
          <w:szCs w:val="24"/>
          <w:shd w:val="clear" w:color="auto" w:fill="FFFFFF"/>
        </w:rPr>
        <w:t>UBTI</w:t>
      </w:r>
      <w:bookmarkStart w:id="0" w:name="_GoBack"/>
      <w:bookmarkEnd w:id="0"/>
      <w:r w:rsidRPr="00B02BCB">
        <w:rPr>
          <w:rFonts w:ascii="Times New Roman" w:hAnsi="Times New Roman" w:cs="Times New Roman"/>
          <w:sz w:val="24"/>
          <w:szCs w:val="24"/>
          <w:shd w:val="clear" w:color="auto" w:fill="FFFFFF"/>
        </w:rPr>
        <w:t>. The Notice also highlights a four-step method that organizations may use to allocate expenses to qualified parking as well as the type of expenses that could be included in UBTI. </w:t>
      </w:r>
    </w:p>
    <w:p w14:paraId="7702F62F" w14:textId="77777777" w:rsidR="00CD29A4" w:rsidRDefault="00CD29A4" w:rsidP="00CD29A4">
      <w:pPr>
        <w:jc w:val="both"/>
        <w:rPr>
          <w:rFonts w:ascii="Times New Roman" w:hAnsi="Times New Roman" w:cs="Times New Roman"/>
          <w:b/>
          <w:bCs/>
          <w:sz w:val="24"/>
          <w:szCs w:val="24"/>
        </w:rPr>
      </w:pPr>
    </w:p>
    <w:p w14:paraId="47AB6647" w14:textId="198277DC" w:rsidR="00CD29A4" w:rsidRDefault="00CD29A4" w:rsidP="00CD29A4">
      <w:pPr>
        <w:jc w:val="both"/>
        <w:rPr>
          <w:rFonts w:ascii="Times New Roman" w:hAnsi="Times New Roman" w:cs="Times New Roman"/>
          <w:b/>
          <w:bCs/>
          <w:sz w:val="24"/>
          <w:szCs w:val="24"/>
        </w:rPr>
      </w:pPr>
      <w:r w:rsidRPr="00F106CA">
        <w:rPr>
          <w:rFonts w:ascii="Times New Roman" w:hAnsi="Times New Roman" w:cs="Times New Roman"/>
          <w:b/>
          <w:bCs/>
          <w:sz w:val="24"/>
          <w:szCs w:val="24"/>
          <w:highlight w:val="lightGray"/>
        </w:rPr>
        <w:t xml:space="preserve">STATE OF MARYLAND </w:t>
      </w:r>
      <w:r w:rsidR="00F106CA">
        <w:rPr>
          <w:rFonts w:ascii="Times New Roman" w:hAnsi="Times New Roman" w:cs="Times New Roman"/>
          <w:b/>
          <w:bCs/>
          <w:sz w:val="24"/>
          <w:szCs w:val="24"/>
          <w:highlight w:val="lightGray"/>
        </w:rPr>
        <w:t xml:space="preserve">TAX </w:t>
      </w:r>
      <w:r w:rsidRPr="00F106CA">
        <w:rPr>
          <w:rFonts w:ascii="Times New Roman" w:hAnsi="Times New Roman" w:cs="Times New Roman"/>
          <w:b/>
          <w:bCs/>
          <w:sz w:val="24"/>
          <w:szCs w:val="24"/>
          <w:highlight w:val="lightGray"/>
        </w:rPr>
        <w:t>FILINGS</w:t>
      </w:r>
    </w:p>
    <w:p w14:paraId="157F9FB7" w14:textId="77777777" w:rsidR="006A16EC" w:rsidRPr="00FF09FD" w:rsidRDefault="00C4401A" w:rsidP="00FF09FD">
      <w:pPr>
        <w:ind w:firstLine="360"/>
        <w:jc w:val="both"/>
        <w:rPr>
          <w:rFonts w:ascii="Times New Roman" w:hAnsi="Times New Roman" w:cs="Times New Roman"/>
          <w:b/>
          <w:bCs/>
          <w:sz w:val="24"/>
          <w:szCs w:val="24"/>
        </w:rPr>
      </w:pPr>
      <w:r w:rsidRPr="00FF09FD">
        <w:rPr>
          <w:rFonts w:ascii="Times New Roman" w:hAnsi="Times New Roman" w:cs="Times New Roman"/>
          <w:b/>
          <w:bCs/>
          <w:sz w:val="24"/>
          <w:szCs w:val="24"/>
        </w:rPr>
        <w:t>ANNUAL REPORT &amp; MARYLAND PERSONAL PROPERTY TAX RETURN</w:t>
      </w:r>
    </w:p>
    <w:p w14:paraId="5C1EF4DD" w14:textId="20BD2737" w:rsidR="00C4401A" w:rsidRPr="00C4401A" w:rsidRDefault="00C4401A" w:rsidP="00CD29A4">
      <w:pPr>
        <w:autoSpaceDE w:val="0"/>
        <w:autoSpaceDN w:val="0"/>
        <w:adjustRightInd w:val="0"/>
        <w:spacing w:after="0" w:line="240" w:lineRule="auto"/>
        <w:ind w:left="360"/>
        <w:jc w:val="both"/>
        <w:rPr>
          <w:rFonts w:ascii="Times New Roman" w:hAnsi="Times New Roman" w:cs="Times New Roman"/>
          <w:color w:val="000000"/>
          <w:sz w:val="24"/>
          <w:szCs w:val="24"/>
        </w:rPr>
      </w:pPr>
      <w:r w:rsidRPr="00C4401A">
        <w:rPr>
          <w:rFonts w:ascii="Times New Roman" w:hAnsi="Times New Roman" w:cs="Times New Roman"/>
          <w:color w:val="000000"/>
          <w:sz w:val="24"/>
          <w:szCs w:val="24"/>
        </w:rPr>
        <w:t>All businesses that are incorporated, qualified or registered to do business in Maryland as of January 1 must file the Annual Report</w:t>
      </w:r>
      <w:r w:rsidR="00880822">
        <w:rPr>
          <w:rFonts w:ascii="Times New Roman" w:hAnsi="Times New Roman" w:cs="Times New Roman"/>
          <w:color w:val="000000"/>
          <w:sz w:val="24"/>
          <w:szCs w:val="24"/>
        </w:rPr>
        <w:t xml:space="preserve"> &amp; </w:t>
      </w:r>
      <w:r w:rsidRPr="00C4401A">
        <w:rPr>
          <w:rFonts w:ascii="Times New Roman" w:hAnsi="Times New Roman" w:cs="Times New Roman"/>
          <w:color w:val="000000"/>
          <w:sz w:val="24"/>
          <w:szCs w:val="24"/>
        </w:rPr>
        <w:t>Maryland Personal Property Tax (PPT) Return. The return is required even if the business owns no property in the State or has not conducted any business activity during the year. If no personal property is owned or leased in Maryland as of</w:t>
      </w:r>
      <w:r w:rsidR="00CD29A4">
        <w:rPr>
          <w:rFonts w:ascii="Times New Roman" w:hAnsi="Times New Roman" w:cs="Times New Roman"/>
          <w:color w:val="000000"/>
          <w:sz w:val="24"/>
          <w:szCs w:val="24"/>
        </w:rPr>
        <w:t xml:space="preserve"> </w:t>
      </w:r>
      <w:r w:rsidRPr="00C4401A">
        <w:rPr>
          <w:rFonts w:ascii="Times New Roman" w:hAnsi="Times New Roman" w:cs="Times New Roman"/>
          <w:color w:val="000000"/>
          <w:sz w:val="24"/>
          <w:szCs w:val="24"/>
        </w:rPr>
        <w:t>January 1, the Annual Report is the only</w:t>
      </w:r>
      <w:r w:rsidR="00CD29A4">
        <w:rPr>
          <w:rFonts w:ascii="Times New Roman" w:hAnsi="Times New Roman" w:cs="Times New Roman"/>
          <w:color w:val="000000"/>
          <w:sz w:val="24"/>
          <w:szCs w:val="24"/>
        </w:rPr>
        <w:t xml:space="preserve"> </w:t>
      </w:r>
      <w:r w:rsidRPr="00C4401A">
        <w:rPr>
          <w:rFonts w:ascii="Times New Roman" w:hAnsi="Times New Roman" w:cs="Times New Roman"/>
          <w:color w:val="000000"/>
          <w:sz w:val="24"/>
          <w:szCs w:val="24"/>
        </w:rPr>
        <w:t xml:space="preserve">form required. </w:t>
      </w:r>
    </w:p>
    <w:p w14:paraId="2AA4A3C5" w14:textId="77777777" w:rsidR="00C4401A" w:rsidRPr="00C4401A" w:rsidRDefault="00C4401A" w:rsidP="00E44CF6">
      <w:pPr>
        <w:autoSpaceDE w:val="0"/>
        <w:autoSpaceDN w:val="0"/>
        <w:adjustRightInd w:val="0"/>
        <w:spacing w:after="0" w:line="240" w:lineRule="auto"/>
        <w:jc w:val="both"/>
        <w:rPr>
          <w:rFonts w:ascii="Times New Roman" w:hAnsi="Times New Roman" w:cs="Times New Roman"/>
          <w:color w:val="000000"/>
          <w:sz w:val="24"/>
          <w:szCs w:val="24"/>
          <w:u w:val="single"/>
        </w:rPr>
      </w:pPr>
    </w:p>
    <w:p w14:paraId="092B7C1C" w14:textId="77777777" w:rsidR="00C4401A" w:rsidRPr="00CD29A4" w:rsidRDefault="00CD29A4" w:rsidP="00E44CF6">
      <w:pPr>
        <w:autoSpaceDE w:val="0"/>
        <w:autoSpaceDN w:val="0"/>
        <w:adjustRightInd w:val="0"/>
        <w:spacing w:after="0" w:line="240" w:lineRule="auto"/>
        <w:ind w:firstLine="360"/>
        <w:jc w:val="both"/>
        <w:rPr>
          <w:rFonts w:ascii="Times New Roman" w:hAnsi="Times New Roman" w:cs="Times New Roman"/>
          <w:b/>
          <w:bCs/>
          <w:color w:val="000000"/>
          <w:sz w:val="24"/>
          <w:szCs w:val="24"/>
          <w:u w:val="single"/>
        </w:rPr>
      </w:pPr>
      <w:r w:rsidRPr="00CD29A4">
        <w:rPr>
          <w:rFonts w:ascii="Times New Roman" w:hAnsi="Times New Roman" w:cs="Times New Roman"/>
          <w:b/>
          <w:bCs/>
          <w:color w:val="000000"/>
          <w:sz w:val="24"/>
          <w:szCs w:val="24"/>
          <w:u w:val="single"/>
        </w:rPr>
        <w:t>Filing Deadline</w:t>
      </w:r>
    </w:p>
    <w:p w14:paraId="6444F2D8" w14:textId="77777777" w:rsidR="00CD29A4" w:rsidRDefault="00CD29A4" w:rsidP="00E44CF6">
      <w:pPr>
        <w:autoSpaceDE w:val="0"/>
        <w:autoSpaceDN w:val="0"/>
        <w:adjustRightInd w:val="0"/>
        <w:spacing w:after="0" w:line="240" w:lineRule="auto"/>
        <w:ind w:left="740" w:hanging="740"/>
        <w:jc w:val="both"/>
        <w:rPr>
          <w:rFonts w:ascii="Times New Roman" w:hAnsi="Times New Roman" w:cs="Times New Roman"/>
          <w:color w:val="000000"/>
          <w:sz w:val="24"/>
          <w:szCs w:val="24"/>
        </w:rPr>
      </w:pPr>
    </w:p>
    <w:p w14:paraId="44253CE8" w14:textId="7DEE3987" w:rsidR="00C4401A" w:rsidRPr="00C4401A" w:rsidRDefault="00A2292B" w:rsidP="00E44CF6">
      <w:pPr>
        <w:autoSpaceDE w:val="0"/>
        <w:autoSpaceDN w:val="0"/>
        <w:adjustRightInd w:val="0"/>
        <w:spacing w:after="0" w:line="240" w:lineRule="auto"/>
        <w:ind w:left="740" w:hanging="380"/>
        <w:jc w:val="both"/>
        <w:rPr>
          <w:rFonts w:ascii="Times New Roman" w:hAnsi="Times New Roman" w:cs="Times New Roman"/>
          <w:color w:val="000000"/>
          <w:sz w:val="24"/>
          <w:szCs w:val="24"/>
        </w:rPr>
      </w:pPr>
      <w:r>
        <w:rPr>
          <w:rFonts w:ascii="Times New Roman" w:hAnsi="Times New Roman" w:cs="Times New Roman"/>
          <w:color w:val="000000"/>
          <w:sz w:val="24"/>
          <w:szCs w:val="24"/>
        </w:rPr>
        <w:t>The due date for filing is</w:t>
      </w:r>
      <w:r w:rsidR="00C4401A" w:rsidRPr="00C4401A">
        <w:rPr>
          <w:rFonts w:ascii="Times New Roman" w:hAnsi="Times New Roman" w:cs="Times New Roman"/>
          <w:color w:val="000000"/>
          <w:sz w:val="24"/>
          <w:szCs w:val="24"/>
        </w:rPr>
        <w:t xml:space="preserve"> April 15</w:t>
      </w:r>
      <w:r w:rsidR="00CD29A4">
        <w:rPr>
          <w:rFonts w:ascii="Times New Roman" w:hAnsi="Times New Roman" w:cs="Times New Roman"/>
          <w:color w:val="000000"/>
          <w:sz w:val="24"/>
          <w:szCs w:val="24"/>
        </w:rPr>
        <w:t xml:space="preserve"> of each year. One </w:t>
      </w:r>
      <w:r w:rsidR="00880822">
        <w:rPr>
          <w:rFonts w:ascii="Times New Roman" w:hAnsi="Times New Roman" w:cs="Times New Roman"/>
          <w:color w:val="000000"/>
          <w:sz w:val="24"/>
          <w:szCs w:val="24"/>
        </w:rPr>
        <w:t xml:space="preserve">sixty-day </w:t>
      </w:r>
      <w:r w:rsidR="00CD29A4">
        <w:rPr>
          <w:rFonts w:ascii="Times New Roman" w:hAnsi="Times New Roman" w:cs="Times New Roman"/>
          <w:color w:val="000000"/>
          <w:sz w:val="24"/>
          <w:szCs w:val="24"/>
        </w:rPr>
        <w:t>extension is allowed.</w:t>
      </w:r>
    </w:p>
    <w:p w14:paraId="639E7475" w14:textId="77777777" w:rsidR="00C4401A" w:rsidRPr="00E44CF6" w:rsidRDefault="00C4401A" w:rsidP="00E44CF6">
      <w:pPr>
        <w:autoSpaceDE w:val="0"/>
        <w:autoSpaceDN w:val="0"/>
        <w:adjustRightInd w:val="0"/>
        <w:spacing w:after="0" w:line="240" w:lineRule="auto"/>
        <w:ind w:left="740" w:hanging="740"/>
        <w:jc w:val="both"/>
        <w:rPr>
          <w:rFonts w:ascii="Times New Roman" w:hAnsi="Times New Roman" w:cs="Times New Roman"/>
          <w:b/>
          <w:bCs/>
          <w:color w:val="000000"/>
          <w:sz w:val="24"/>
          <w:szCs w:val="24"/>
        </w:rPr>
      </w:pPr>
      <w:r w:rsidRPr="00C4401A">
        <w:rPr>
          <w:rFonts w:ascii="Times New Roman" w:hAnsi="Times New Roman" w:cs="Times New Roman"/>
          <w:color w:val="000000"/>
          <w:sz w:val="24"/>
          <w:szCs w:val="24"/>
        </w:rPr>
        <w:tab/>
      </w:r>
    </w:p>
    <w:p w14:paraId="50E6A716" w14:textId="77777777" w:rsidR="00CD29A4" w:rsidRPr="00FF09FD" w:rsidRDefault="00CD29A4" w:rsidP="00FF09FD">
      <w:pPr>
        <w:autoSpaceDE w:val="0"/>
        <w:autoSpaceDN w:val="0"/>
        <w:adjustRightInd w:val="0"/>
        <w:spacing w:after="0" w:line="240" w:lineRule="auto"/>
        <w:ind w:firstLine="360"/>
        <w:jc w:val="both"/>
        <w:rPr>
          <w:rFonts w:ascii="Times New Roman" w:hAnsi="Times New Roman" w:cs="Times New Roman"/>
          <w:b/>
          <w:bCs/>
          <w:color w:val="000000"/>
          <w:sz w:val="24"/>
          <w:szCs w:val="24"/>
        </w:rPr>
      </w:pPr>
      <w:r w:rsidRPr="00FF09FD">
        <w:rPr>
          <w:rFonts w:ascii="Times New Roman" w:hAnsi="Times New Roman" w:cs="Times New Roman"/>
          <w:b/>
          <w:bCs/>
          <w:color w:val="000000"/>
          <w:sz w:val="24"/>
          <w:szCs w:val="24"/>
        </w:rPr>
        <w:t xml:space="preserve">ANNUAL CHARITABLE REGISTRATION </w:t>
      </w:r>
    </w:p>
    <w:p w14:paraId="3BA4D720" w14:textId="77777777" w:rsidR="00E44CF6" w:rsidRDefault="00E44CF6" w:rsidP="00E44CF6">
      <w:pPr>
        <w:autoSpaceDE w:val="0"/>
        <w:autoSpaceDN w:val="0"/>
        <w:adjustRightInd w:val="0"/>
        <w:spacing w:after="0" w:line="240" w:lineRule="auto"/>
        <w:jc w:val="both"/>
        <w:rPr>
          <w:rFonts w:ascii="Times New Roman" w:hAnsi="Times New Roman" w:cs="Times New Roman"/>
          <w:b/>
          <w:bCs/>
          <w:color w:val="000000"/>
          <w:sz w:val="24"/>
          <w:szCs w:val="24"/>
        </w:rPr>
      </w:pPr>
    </w:p>
    <w:p w14:paraId="3DDDC230" w14:textId="77777777" w:rsidR="00E44CF6" w:rsidRDefault="00E44CF6" w:rsidP="00E44CF6">
      <w:pPr>
        <w:autoSpaceDE w:val="0"/>
        <w:autoSpaceDN w:val="0"/>
        <w:adjustRightInd w:val="0"/>
        <w:spacing w:after="0" w:line="240" w:lineRule="auto"/>
        <w:ind w:left="740" w:hanging="380"/>
        <w:jc w:val="both"/>
        <w:rPr>
          <w:rFonts w:ascii="Times New Roman" w:hAnsi="Times New Roman" w:cs="Times New Roman"/>
          <w:b/>
          <w:bCs/>
          <w:color w:val="000000"/>
          <w:sz w:val="24"/>
          <w:szCs w:val="24"/>
          <w:u w:val="single"/>
        </w:rPr>
      </w:pPr>
      <w:r w:rsidRPr="00E44CF6">
        <w:rPr>
          <w:rFonts w:ascii="Times New Roman" w:hAnsi="Times New Roman" w:cs="Times New Roman"/>
          <w:color w:val="000000"/>
          <w:sz w:val="24"/>
          <w:szCs w:val="24"/>
        </w:rPr>
        <w:t>A non-profit organization which received in the most recently</w:t>
      </w:r>
      <w:r>
        <w:rPr>
          <w:rFonts w:ascii="Times New Roman" w:hAnsi="Times New Roman" w:cs="Times New Roman"/>
          <w:color w:val="000000"/>
          <w:sz w:val="24"/>
          <w:szCs w:val="24"/>
        </w:rPr>
        <w:t xml:space="preserve"> </w:t>
      </w:r>
      <w:r w:rsidRPr="00E44CF6">
        <w:rPr>
          <w:rFonts w:ascii="Times New Roman" w:hAnsi="Times New Roman" w:cs="Times New Roman"/>
          <w:color w:val="000000"/>
          <w:sz w:val="24"/>
          <w:szCs w:val="24"/>
        </w:rPr>
        <w:t xml:space="preserve">completed fiscal year </w:t>
      </w:r>
      <w:r w:rsidRPr="00E44CF6">
        <w:rPr>
          <w:rFonts w:ascii="Times New Roman" w:hAnsi="Times New Roman" w:cs="Times New Roman"/>
          <w:b/>
          <w:bCs/>
          <w:color w:val="000000"/>
          <w:sz w:val="24"/>
          <w:szCs w:val="24"/>
          <w:u w:val="single"/>
        </w:rPr>
        <w:t>more than</w:t>
      </w:r>
    </w:p>
    <w:p w14:paraId="7F6F83ED" w14:textId="77777777" w:rsidR="008143B6" w:rsidRDefault="00E44CF6" w:rsidP="008143B6">
      <w:pPr>
        <w:autoSpaceDE w:val="0"/>
        <w:autoSpaceDN w:val="0"/>
        <w:adjustRightInd w:val="0"/>
        <w:spacing w:after="0" w:line="240" w:lineRule="auto"/>
        <w:ind w:left="740" w:hanging="380"/>
        <w:jc w:val="both"/>
        <w:rPr>
          <w:rFonts w:ascii="Times New Roman" w:hAnsi="Times New Roman" w:cs="Times New Roman"/>
          <w:color w:val="000000"/>
          <w:sz w:val="24"/>
          <w:szCs w:val="24"/>
        </w:rPr>
      </w:pPr>
      <w:r w:rsidRPr="00E44CF6">
        <w:rPr>
          <w:rFonts w:ascii="Times New Roman" w:hAnsi="Times New Roman" w:cs="Times New Roman"/>
          <w:b/>
          <w:bCs/>
          <w:color w:val="000000"/>
          <w:sz w:val="24"/>
          <w:szCs w:val="24"/>
          <w:u w:val="single"/>
        </w:rPr>
        <w:t>$25,000</w:t>
      </w:r>
      <w:r w:rsidRPr="00E44CF6">
        <w:rPr>
          <w:rFonts w:ascii="Times New Roman" w:hAnsi="Times New Roman" w:cs="Times New Roman"/>
          <w:color w:val="000000"/>
          <w:sz w:val="24"/>
          <w:szCs w:val="24"/>
        </w:rPr>
        <w:t xml:space="preserve"> in direct support</w:t>
      </w:r>
      <w:r>
        <w:rPr>
          <w:rFonts w:ascii="Times New Roman" w:hAnsi="Times New Roman" w:cs="Times New Roman"/>
          <w:color w:val="000000"/>
          <w:sz w:val="24"/>
          <w:szCs w:val="24"/>
        </w:rPr>
        <w:t xml:space="preserve"> </w:t>
      </w:r>
      <w:r w:rsidRPr="00E44CF6">
        <w:rPr>
          <w:rFonts w:ascii="Times New Roman" w:hAnsi="Times New Roman" w:cs="Times New Roman"/>
          <w:color w:val="000000"/>
          <w:sz w:val="24"/>
          <w:szCs w:val="24"/>
        </w:rPr>
        <w:t>from the public, private foundations, and corporate grants and</w:t>
      </w:r>
      <w:r w:rsidR="008143B6">
        <w:rPr>
          <w:rFonts w:ascii="Times New Roman" w:hAnsi="Times New Roman" w:cs="Times New Roman"/>
          <w:color w:val="000000"/>
          <w:sz w:val="24"/>
          <w:szCs w:val="24"/>
        </w:rPr>
        <w:t xml:space="preserve"> </w:t>
      </w:r>
      <w:r w:rsidRPr="00E44CF6">
        <w:rPr>
          <w:rFonts w:ascii="Times New Roman" w:hAnsi="Times New Roman" w:cs="Times New Roman"/>
          <w:color w:val="000000"/>
          <w:sz w:val="24"/>
          <w:szCs w:val="24"/>
        </w:rPr>
        <w:t>gross</w:t>
      </w:r>
    </w:p>
    <w:p w14:paraId="742508CA" w14:textId="77777777" w:rsidR="00E44CF6" w:rsidRPr="00E44CF6" w:rsidRDefault="00E44CF6" w:rsidP="008143B6">
      <w:pPr>
        <w:autoSpaceDE w:val="0"/>
        <w:autoSpaceDN w:val="0"/>
        <w:adjustRightInd w:val="0"/>
        <w:spacing w:after="0" w:line="240" w:lineRule="auto"/>
        <w:ind w:left="740" w:hanging="380"/>
        <w:jc w:val="both"/>
        <w:rPr>
          <w:rFonts w:ascii="Times New Roman" w:hAnsi="Times New Roman" w:cs="Times New Roman"/>
          <w:color w:val="000000"/>
          <w:sz w:val="24"/>
          <w:szCs w:val="24"/>
        </w:rPr>
      </w:pPr>
      <w:r w:rsidRPr="00E44CF6">
        <w:rPr>
          <w:rFonts w:ascii="Times New Roman" w:hAnsi="Times New Roman" w:cs="Times New Roman"/>
          <w:color w:val="000000"/>
          <w:sz w:val="24"/>
          <w:szCs w:val="24"/>
        </w:rPr>
        <w:t>revenue from special fundraising events must complete</w:t>
      </w:r>
      <w:r>
        <w:rPr>
          <w:rFonts w:ascii="Times New Roman" w:hAnsi="Times New Roman" w:cs="Times New Roman"/>
          <w:color w:val="000000"/>
          <w:sz w:val="24"/>
          <w:szCs w:val="24"/>
        </w:rPr>
        <w:t xml:space="preserve"> </w:t>
      </w:r>
      <w:r w:rsidRPr="00E44CF6">
        <w:rPr>
          <w:rFonts w:ascii="Times New Roman" w:hAnsi="Times New Roman" w:cs="Times New Roman"/>
          <w:color w:val="000000"/>
          <w:sz w:val="24"/>
          <w:szCs w:val="24"/>
        </w:rPr>
        <w:t>the annual charitable registration.</w:t>
      </w:r>
    </w:p>
    <w:p w14:paraId="4BCF2A96" w14:textId="77777777" w:rsidR="008143B6" w:rsidRDefault="008143B6" w:rsidP="008143B6">
      <w:pPr>
        <w:autoSpaceDE w:val="0"/>
        <w:autoSpaceDN w:val="0"/>
        <w:adjustRightInd w:val="0"/>
        <w:spacing w:after="0" w:line="240" w:lineRule="auto"/>
        <w:jc w:val="both"/>
        <w:rPr>
          <w:rFonts w:ascii="Times New Roman" w:hAnsi="Times New Roman" w:cs="Times New Roman"/>
          <w:color w:val="000000"/>
          <w:sz w:val="24"/>
          <w:szCs w:val="24"/>
          <w:u w:val="single"/>
        </w:rPr>
      </w:pPr>
    </w:p>
    <w:p w14:paraId="65A1AA69" w14:textId="77777777" w:rsidR="00CD29A4" w:rsidRPr="00CD29A4" w:rsidRDefault="00CD29A4" w:rsidP="008143B6">
      <w:pPr>
        <w:autoSpaceDE w:val="0"/>
        <w:autoSpaceDN w:val="0"/>
        <w:adjustRightInd w:val="0"/>
        <w:spacing w:after="0" w:line="240" w:lineRule="auto"/>
        <w:ind w:firstLine="360"/>
        <w:jc w:val="both"/>
        <w:rPr>
          <w:rFonts w:ascii="Times New Roman" w:hAnsi="Times New Roman" w:cs="Times New Roman"/>
          <w:color w:val="000000"/>
          <w:sz w:val="24"/>
          <w:szCs w:val="24"/>
        </w:rPr>
      </w:pPr>
      <w:r w:rsidRPr="00CD29A4">
        <w:rPr>
          <w:rFonts w:ascii="Times New Roman" w:hAnsi="Times New Roman" w:cs="Times New Roman"/>
          <w:color w:val="000000"/>
          <w:sz w:val="24"/>
          <w:szCs w:val="24"/>
          <w:u w:val="single"/>
        </w:rPr>
        <w:t>Forms to Submit for Annual Charitable Registration</w:t>
      </w:r>
      <w:r>
        <w:rPr>
          <w:rFonts w:ascii="Times New Roman" w:hAnsi="Times New Roman" w:cs="Times New Roman"/>
          <w:color w:val="000000"/>
          <w:sz w:val="24"/>
          <w:szCs w:val="24"/>
          <w:u w:val="single"/>
        </w:rPr>
        <w:t xml:space="preserve"> Renewal</w:t>
      </w:r>
    </w:p>
    <w:p w14:paraId="061369E5" w14:textId="77777777" w:rsidR="00CD29A4" w:rsidRDefault="00CD29A4" w:rsidP="00E44CF6">
      <w:pPr>
        <w:autoSpaceDE w:val="0"/>
        <w:autoSpaceDN w:val="0"/>
        <w:adjustRightInd w:val="0"/>
        <w:spacing w:after="0" w:line="240" w:lineRule="auto"/>
        <w:ind w:left="740"/>
        <w:jc w:val="both"/>
        <w:rPr>
          <w:rFonts w:ascii="Times New Roman" w:hAnsi="Times New Roman" w:cs="Times New Roman"/>
          <w:color w:val="000000"/>
          <w:sz w:val="24"/>
          <w:szCs w:val="24"/>
        </w:rPr>
      </w:pPr>
    </w:p>
    <w:p w14:paraId="31D23150" w14:textId="77777777" w:rsidR="00CD29A4" w:rsidRDefault="00CD29A4" w:rsidP="00E44CF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D29A4">
        <w:rPr>
          <w:rFonts w:ascii="Times New Roman" w:hAnsi="Times New Roman" w:cs="Times New Roman"/>
          <w:color w:val="000000"/>
          <w:sz w:val="24"/>
          <w:szCs w:val="24"/>
        </w:rPr>
        <w:t xml:space="preserve">A signed copy of an IRS Form 990.  Form COF-85 may be filed in lieu of the IRS Form 990 or 990-EZ. </w:t>
      </w:r>
    </w:p>
    <w:p w14:paraId="67BA8999" w14:textId="77777777" w:rsidR="00CD29A4" w:rsidRPr="00CD29A4" w:rsidRDefault="00CD29A4" w:rsidP="00E44CF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D29A4">
        <w:rPr>
          <w:rFonts w:ascii="Times New Roman" w:hAnsi="Times New Roman" w:cs="Times New Roman"/>
          <w:color w:val="000000"/>
          <w:sz w:val="24"/>
          <w:szCs w:val="24"/>
        </w:rPr>
        <w:t>If charitable contributions are at least $</w:t>
      </w:r>
      <w:r w:rsidRPr="00CD29A4">
        <w:rPr>
          <w:rFonts w:ascii="Times New Roman" w:hAnsi="Times New Roman" w:cs="Times New Roman"/>
          <w:b/>
          <w:bCs/>
          <w:color w:val="000000"/>
          <w:sz w:val="24"/>
          <w:szCs w:val="24"/>
        </w:rPr>
        <w:t>300,000</w:t>
      </w:r>
      <w:r w:rsidRPr="00CD29A4">
        <w:rPr>
          <w:rFonts w:ascii="Times New Roman" w:hAnsi="Times New Roman" w:cs="Times New Roman"/>
          <w:color w:val="000000"/>
          <w:sz w:val="24"/>
          <w:szCs w:val="24"/>
        </w:rPr>
        <w:t xml:space="preserve"> but are less than $</w:t>
      </w:r>
      <w:r w:rsidRPr="00CD29A4">
        <w:rPr>
          <w:rFonts w:ascii="Times New Roman" w:hAnsi="Times New Roman" w:cs="Times New Roman"/>
          <w:b/>
          <w:bCs/>
          <w:color w:val="000000"/>
          <w:sz w:val="24"/>
          <w:szCs w:val="24"/>
        </w:rPr>
        <w:t>750,000</w:t>
      </w:r>
      <w:r w:rsidRPr="00CD29A4">
        <w:rPr>
          <w:rFonts w:ascii="Times New Roman" w:hAnsi="Times New Roman" w:cs="Times New Roman"/>
          <w:color w:val="000000"/>
          <w:sz w:val="24"/>
          <w:szCs w:val="24"/>
        </w:rPr>
        <w:t xml:space="preserve">, a copy of a financial review or if charitable contributions are at least </w:t>
      </w:r>
      <w:r w:rsidRPr="00CD29A4">
        <w:rPr>
          <w:rFonts w:ascii="Times New Roman" w:hAnsi="Times New Roman" w:cs="Times New Roman"/>
          <w:b/>
          <w:bCs/>
          <w:color w:val="000000"/>
          <w:sz w:val="24"/>
          <w:szCs w:val="24"/>
        </w:rPr>
        <w:t>$750,000</w:t>
      </w:r>
      <w:r w:rsidRPr="00CD29A4">
        <w:rPr>
          <w:rFonts w:ascii="Times New Roman" w:hAnsi="Times New Roman" w:cs="Times New Roman"/>
          <w:color w:val="000000"/>
          <w:sz w:val="24"/>
          <w:szCs w:val="24"/>
        </w:rPr>
        <w:t>, a copy of an audit</w:t>
      </w:r>
      <w:r w:rsidRPr="00CD29A4">
        <w:rPr>
          <w:rFonts w:ascii="Times New Roman" w:hAnsi="Times New Roman" w:cs="Times New Roman"/>
          <w:i/>
          <w:iCs/>
          <w:color w:val="000000"/>
          <w:sz w:val="24"/>
          <w:szCs w:val="24"/>
        </w:rPr>
        <w:t>.</w:t>
      </w:r>
    </w:p>
    <w:p w14:paraId="7A3DB3FB" w14:textId="77777777" w:rsidR="00CD29A4" w:rsidRDefault="00CD29A4" w:rsidP="00E44CF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D29A4">
        <w:rPr>
          <w:rFonts w:ascii="Times New Roman" w:hAnsi="Times New Roman" w:cs="Times New Roman"/>
          <w:color w:val="000000"/>
          <w:sz w:val="24"/>
          <w:szCs w:val="24"/>
        </w:rPr>
        <w:t xml:space="preserve">A current list of the names and home or alternative business addresses of the board of directors. </w:t>
      </w:r>
    </w:p>
    <w:p w14:paraId="2C2E98A0" w14:textId="77777777" w:rsidR="00CD29A4" w:rsidRDefault="00CD29A4" w:rsidP="00E44CF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D29A4">
        <w:rPr>
          <w:rFonts w:ascii="Times New Roman" w:hAnsi="Times New Roman" w:cs="Times New Roman"/>
          <w:color w:val="000000"/>
          <w:sz w:val="24"/>
          <w:szCs w:val="24"/>
        </w:rPr>
        <w:t>A copy of all fundraising agreements, if one or more independent contractors or subcontractors solicit charitable contributions on your organization's behalf in Maryland. </w:t>
      </w:r>
    </w:p>
    <w:p w14:paraId="12A1F018" w14:textId="77777777" w:rsidR="00CD29A4" w:rsidRDefault="00CD29A4" w:rsidP="00E44CF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D29A4">
        <w:rPr>
          <w:rFonts w:ascii="Times New Roman" w:hAnsi="Times New Roman" w:cs="Times New Roman"/>
          <w:color w:val="000000"/>
          <w:sz w:val="24"/>
          <w:szCs w:val="24"/>
        </w:rPr>
        <w:t>Any changes to the registration or other documents, e.g., change to name, address, telephone number, articles of incorporation, etc.</w:t>
      </w:r>
    </w:p>
    <w:p w14:paraId="69848482" w14:textId="77777777" w:rsidR="00CD29A4" w:rsidRDefault="00CD29A4" w:rsidP="00E44CF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D29A4">
        <w:rPr>
          <w:rFonts w:ascii="Times New Roman" w:hAnsi="Times New Roman" w:cs="Times New Roman"/>
          <w:color w:val="000000"/>
          <w:sz w:val="24"/>
          <w:szCs w:val="24"/>
        </w:rPr>
        <w:t>A check or money order made payable to the Secretary of State in payment of the update registration fee. This fee is based on the organization's level of charitable contributions.</w:t>
      </w:r>
    </w:p>
    <w:p w14:paraId="1BDC6D7C" w14:textId="77777777" w:rsidR="00CD29A4" w:rsidRDefault="00CD29A4" w:rsidP="00E44CF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D29A4">
        <w:rPr>
          <w:rFonts w:ascii="Times New Roman" w:hAnsi="Times New Roman" w:cs="Times New Roman"/>
          <w:color w:val="000000"/>
          <w:sz w:val="24"/>
          <w:szCs w:val="24"/>
        </w:rPr>
        <w:t xml:space="preserve">Annual Update Registration Form </w:t>
      </w:r>
    </w:p>
    <w:p w14:paraId="7260E3FE" w14:textId="77777777" w:rsidR="008143B6" w:rsidRPr="00FF09FD" w:rsidRDefault="008143B6" w:rsidP="008143B6">
      <w:pPr>
        <w:pStyle w:val="ListParagraph"/>
        <w:autoSpaceDE w:val="0"/>
        <w:autoSpaceDN w:val="0"/>
        <w:adjustRightInd w:val="0"/>
        <w:spacing w:after="0" w:line="240" w:lineRule="auto"/>
        <w:ind w:left="1460"/>
        <w:jc w:val="both"/>
        <w:rPr>
          <w:rFonts w:ascii="Times New Roman" w:hAnsi="Times New Roman" w:cs="Times New Roman"/>
          <w:b/>
          <w:bCs/>
          <w:color w:val="000000"/>
          <w:sz w:val="24"/>
          <w:szCs w:val="24"/>
        </w:rPr>
      </w:pPr>
    </w:p>
    <w:p w14:paraId="0A177F16" w14:textId="77777777" w:rsidR="008143B6" w:rsidRPr="00A2292B" w:rsidRDefault="00FF09FD" w:rsidP="00FF09FD">
      <w:pPr>
        <w:autoSpaceDE w:val="0"/>
        <w:autoSpaceDN w:val="0"/>
        <w:adjustRightInd w:val="0"/>
        <w:spacing w:after="0" w:line="240" w:lineRule="auto"/>
        <w:rPr>
          <w:rFonts w:ascii="Times New Roman" w:hAnsi="Times New Roman" w:cs="Times New Roman"/>
          <w:b/>
          <w:bCs/>
          <w:color w:val="000000"/>
          <w:sz w:val="24"/>
          <w:szCs w:val="24"/>
          <w:u w:val="single"/>
        </w:rPr>
      </w:pPr>
      <w:r w:rsidRPr="00FF09FD">
        <w:rPr>
          <w:rFonts w:ascii="Times New Roman" w:hAnsi="Times New Roman" w:cs="Times New Roman"/>
          <w:b/>
          <w:bCs/>
          <w:color w:val="000000"/>
          <w:sz w:val="24"/>
          <w:szCs w:val="24"/>
        </w:rPr>
        <w:t xml:space="preserve">       </w:t>
      </w:r>
      <w:r w:rsidR="008143B6" w:rsidRPr="008143B6">
        <w:rPr>
          <w:rFonts w:ascii="Times New Roman" w:hAnsi="Times New Roman" w:cs="Times New Roman"/>
          <w:b/>
          <w:bCs/>
          <w:color w:val="000000"/>
          <w:sz w:val="24"/>
          <w:szCs w:val="24"/>
          <w:u w:val="single"/>
        </w:rPr>
        <w:t>Filing Deadline</w:t>
      </w:r>
    </w:p>
    <w:p w14:paraId="4273338D" w14:textId="77777777" w:rsidR="00FF09FD" w:rsidRDefault="00FF09FD" w:rsidP="00FF09FD">
      <w:pPr>
        <w:autoSpaceDE w:val="0"/>
        <w:autoSpaceDN w:val="0"/>
        <w:adjustRightInd w:val="0"/>
        <w:spacing w:after="0" w:line="240" w:lineRule="auto"/>
        <w:jc w:val="both"/>
        <w:rPr>
          <w:rFonts w:ascii="Times New Roman" w:hAnsi="Times New Roman" w:cs="Times New Roman"/>
          <w:color w:val="000000"/>
          <w:sz w:val="24"/>
          <w:szCs w:val="24"/>
        </w:rPr>
      </w:pPr>
    </w:p>
    <w:p w14:paraId="588D89C7" w14:textId="5A7AFD12" w:rsidR="00E44CF6" w:rsidRPr="00A2292B" w:rsidRDefault="00A2292B" w:rsidP="00FF09FD">
      <w:pPr>
        <w:autoSpaceDE w:val="0"/>
        <w:autoSpaceDN w:val="0"/>
        <w:adjustRightInd w:val="0"/>
        <w:spacing w:after="0" w:line="240" w:lineRule="auto"/>
        <w:ind w:left="420"/>
        <w:jc w:val="both"/>
        <w:rPr>
          <w:rFonts w:ascii="Times New Roman" w:hAnsi="Times New Roman" w:cs="Times New Roman"/>
          <w:color w:val="000000"/>
          <w:sz w:val="24"/>
          <w:szCs w:val="24"/>
        </w:rPr>
      </w:pPr>
      <w:r w:rsidRPr="00A2292B">
        <w:rPr>
          <w:rFonts w:ascii="Times New Roman" w:hAnsi="Times New Roman" w:cs="Times New Roman"/>
          <w:color w:val="000000"/>
          <w:sz w:val="24"/>
          <w:szCs w:val="24"/>
        </w:rPr>
        <w:t>The due date for filing is the last day of the sixth month</w:t>
      </w:r>
      <w:r w:rsidR="00E44CF6" w:rsidRPr="00A2292B">
        <w:rPr>
          <w:rFonts w:ascii="Times New Roman" w:hAnsi="Times New Roman" w:cs="Times New Roman"/>
          <w:color w:val="000000"/>
          <w:sz w:val="24"/>
          <w:szCs w:val="24"/>
        </w:rPr>
        <w:t xml:space="preserve"> </w:t>
      </w:r>
      <w:r w:rsidRPr="00A2292B">
        <w:rPr>
          <w:rFonts w:ascii="Times New Roman" w:hAnsi="Times New Roman" w:cs="Times New Roman"/>
          <w:color w:val="000000"/>
          <w:sz w:val="24"/>
          <w:szCs w:val="24"/>
        </w:rPr>
        <w:t xml:space="preserve">after the end of its most recently completed fiscal year. </w:t>
      </w:r>
      <w:r w:rsidR="00880822">
        <w:rPr>
          <w:rFonts w:ascii="Times New Roman" w:hAnsi="Times New Roman" w:cs="Times New Roman"/>
          <w:color w:val="000000"/>
          <w:sz w:val="24"/>
          <w:szCs w:val="24"/>
        </w:rPr>
        <w:t>If t</w:t>
      </w:r>
      <w:r w:rsidRPr="00A2292B">
        <w:rPr>
          <w:rFonts w:ascii="Times New Roman" w:hAnsi="Times New Roman" w:cs="Times New Roman"/>
          <w:color w:val="000000"/>
          <w:sz w:val="24"/>
          <w:szCs w:val="24"/>
        </w:rPr>
        <w:t>he organization</w:t>
      </w:r>
      <w:r w:rsidR="00880822">
        <w:rPr>
          <w:rFonts w:ascii="Times New Roman" w:hAnsi="Times New Roman" w:cs="Times New Roman"/>
          <w:color w:val="000000"/>
          <w:sz w:val="24"/>
          <w:szCs w:val="24"/>
        </w:rPr>
        <w:t xml:space="preserve"> has an approved extension from the IRS for its annual 990 filing, it</w:t>
      </w:r>
      <w:r w:rsidRPr="00A2292B">
        <w:rPr>
          <w:rFonts w:ascii="Times New Roman" w:hAnsi="Times New Roman" w:cs="Times New Roman"/>
          <w:color w:val="000000"/>
          <w:sz w:val="24"/>
          <w:szCs w:val="24"/>
        </w:rPr>
        <w:t xml:space="preserve"> is a</w:t>
      </w:r>
      <w:r w:rsidR="00E44CF6" w:rsidRPr="00A2292B">
        <w:rPr>
          <w:rFonts w:ascii="Times New Roman" w:hAnsi="Times New Roman" w:cs="Times New Roman"/>
          <w:color w:val="000000"/>
          <w:sz w:val="24"/>
          <w:szCs w:val="24"/>
        </w:rPr>
        <w:t xml:space="preserve">utomatically granted an extension </w:t>
      </w:r>
      <w:r w:rsidR="00880822">
        <w:rPr>
          <w:rFonts w:ascii="Times New Roman" w:hAnsi="Times New Roman" w:cs="Times New Roman"/>
          <w:color w:val="000000"/>
          <w:sz w:val="24"/>
          <w:szCs w:val="24"/>
        </w:rPr>
        <w:t xml:space="preserve">for its state filing </w:t>
      </w:r>
      <w:r w:rsidR="00E44CF6" w:rsidRPr="00A2292B">
        <w:rPr>
          <w:rFonts w:ascii="Times New Roman" w:hAnsi="Times New Roman" w:cs="Times New Roman"/>
          <w:color w:val="000000"/>
          <w:sz w:val="24"/>
          <w:szCs w:val="24"/>
        </w:rPr>
        <w:t>until the 15th day of the 11th month after the end of its most recently completed fiscal year. No extension request (IRS Form 8868) is required. The maximum extension allowed is the same as the maximum extension date for filing the 990 with the IRS.</w:t>
      </w:r>
    </w:p>
    <w:p w14:paraId="48EB842A" w14:textId="77777777" w:rsidR="00E44CF6" w:rsidRPr="00A2292B" w:rsidRDefault="00E44CF6" w:rsidP="00E44CF6">
      <w:pPr>
        <w:autoSpaceDE w:val="0"/>
        <w:autoSpaceDN w:val="0"/>
        <w:adjustRightInd w:val="0"/>
        <w:spacing w:after="0" w:line="240" w:lineRule="auto"/>
        <w:ind w:left="740" w:hanging="740"/>
        <w:rPr>
          <w:rFonts w:ascii="Times New Roman" w:hAnsi="Times New Roman" w:cs="Times New Roman"/>
          <w:color w:val="000000"/>
          <w:sz w:val="24"/>
          <w:szCs w:val="24"/>
          <w:u w:val="single"/>
        </w:rPr>
      </w:pPr>
      <w:r w:rsidRPr="00A2292B">
        <w:rPr>
          <w:rFonts w:ascii="Times New Roman" w:hAnsi="Times New Roman" w:cs="Times New Roman"/>
          <w:color w:val="000000"/>
          <w:sz w:val="24"/>
          <w:szCs w:val="24"/>
        </w:rPr>
        <w:tab/>
      </w:r>
    </w:p>
    <w:p w14:paraId="0E3A162E" w14:textId="77777777" w:rsidR="00C4401A" w:rsidRPr="00A2292B" w:rsidRDefault="00C4401A" w:rsidP="00300146">
      <w:pPr>
        <w:jc w:val="both"/>
        <w:rPr>
          <w:rFonts w:ascii="Times New Roman" w:hAnsi="Times New Roman" w:cs="Times New Roman"/>
          <w:sz w:val="24"/>
          <w:szCs w:val="24"/>
        </w:rPr>
      </w:pPr>
    </w:p>
    <w:sectPr w:rsidR="00C4401A" w:rsidRPr="00A2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A6C9FA2"/>
    <w:lvl w:ilvl="0">
      <w:numFmt w:val="bullet"/>
      <w:lvlText w:val="*"/>
      <w:lvlJc w:val="left"/>
    </w:lvl>
  </w:abstractNum>
  <w:abstractNum w:abstractNumId="1" w15:restartNumberingAfterBreak="0">
    <w:nsid w:val="313A3A07"/>
    <w:multiLevelType w:val="hybridMultilevel"/>
    <w:tmpl w:val="9D5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90C60"/>
    <w:multiLevelType w:val="hybridMultilevel"/>
    <w:tmpl w:val="F69E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43924"/>
    <w:multiLevelType w:val="hybridMultilevel"/>
    <w:tmpl w:val="C9FA396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 w15:restartNumberingAfterBreak="0">
    <w:nsid w:val="749264C1"/>
    <w:multiLevelType w:val="hybridMultilevel"/>
    <w:tmpl w:val="F35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7366C"/>
    <w:multiLevelType w:val="hybridMultilevel"/>
    <w:tmpl w:val="F496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45"/>
        </w:rPr>
      </w:lvl>
    </w:lvlOverride>
  </w:num>
  <w:num w:numId="2">
    <w:abstractNumId w:val="0"/>
    <w:lvlOverride w:ilvl="0">
      <w:lvl w:ilvl="0">
        <w:numFmt w:val="bullet"/>
        <w:lvlText w:val=""/>
        <w:legacy w:legacy="1" w:legacySpace="0" w:legacyIndent="0"/>
        <w:lvlJc w:val="left"/>
        <w:rPr>
          <w:rFonts w:ascii="Wingdings" w:hAnsi="Wingdings" w:hint="default"/>
          <w:sz w:val="25"/>
        </w:rPr>
      </w:lvl>
    </w:lvlOverride>
  </w:num>
  <w:num w:numId="3">
    <w:abstractNumId w:val="5"/>
  </w:num>
  <w:num w:numId="4">
    <w:abstractNumId w:val="1"/>
  </w:num>
  <w:num w:numId="5">
    <w:abstractNumId w:val="4"/>
  </w:num>
  <w:num w:numId="6">
    <w:abstractNumId w:val="2"/>
  </w:num>
  <w:num w:numId="7">
    <w:abstractNumId w:val="0"/>
    <w:lvlOverride w:ilvl="0">
      <w:lvl w:ilvl="0">
        <w:numFmt w:val="bullet"/>
        <w:lvlText w:val=""/>
        <w:legacy w:legacy="1" w:legacySpace="0" w:legacyIndent="0"/>
        <w:lvlJc w:val="left"/>
        <w:rPr>
          <w:rFonts w:ascii="Wingdings" w:hAnsi="Wingdings" w:hint="default"/>
          <w:sz w:val="25"/>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57"/>
    <w:rsid w:val="0004722F"/>
    <w:rsid w:val="000E786F"/>
    <w:rsid w:val="00300146"/>
    <w:rsid w:val="003526FE"/>
    <w:rsid w:val="004E26BB"/>
    <w:rsid w:val="00631D7F"/>
    <w:rsid w:val="006A16EC"/>
    <w:rsid w:val="008143B6"/>
    <w:rsid w:val="00880822"/>
    <w:rsid w:val="00A2292B"/>
    <w:rsid w:val="00A30957"/>
    <w:rsid w:val="00B02BCB"/>
    <w:rsid w:val="00BE4671"/>
    <w:rsid w:val="00C4401A"/>
    <w:rsid w:val="00C66D84"/>
    <w:rsid w:val="00CA67C6"/>
    <w:rsid w:val="00CD29A4"/>
    <w:rsid w:val="00D04A85"/>
    <w:rsid w:val="00E44CF6"/>
    <w:rsid w:val="00E6471C"/>
    <w:rsid w:val="00F106CA"/>
    <w:rsid w:val="00FF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4C4"/>
  <w15:chartTrackingRefBased/>
  <w15:docId w15:val="{DA20C678-B93E-435D-9CEC-653A281B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30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1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95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3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57"/>
    <w:rPr>
      <w:rFonts w:ascii="Segoe UI" w:hAnsi="Segoe UI" w:cs="Segoe UI"/>
      <w:sz w:val="18"/>
      <w:szCs w:val="18"/>
    </w:rPr>
  </w:style>
  <w:style w:type="paragraph" w:styleId="ListParagraph">
    <w:name w:val="List Paragraph"/>
    <w:basedOn w:val="Normal"/>
    <w:uiPriority w:val="34"/>
    <w:qFormat/>
    <w:rsid w:val="00BE4671"/>
    <w:pPr>
      <w:ind w:left="720"/>
      <w:contextualSpacing/>
    </w:pPr>
  </w:style>
  <w:style w:type="character" w:customStyle="1" w:styleId="Heading2Char">
    <w:name w:val="Heading 2 Char"/>
    <w:basedOn w:val="DefaultParagraphFont"/>
    <w:link w:val="Heading2"/>
    <w:uiPriority w:val="9"/>
    <w:semiHidden/>
    <w:rsid w:val="0030014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00146"/>
    <w:rPr>
      <w:color w:val="0000FF"/>
      <w:u w:val="single"/>
    </w:rPr>
  </w:style>
  <w:style w:type="paragraph" w:styleId="NormalWeb">
    <w:name w:val="Normal (Web)"/>
    <w:basedOn w:val="Normal"/>
    <w:uiPriority w:val="99"/>
    <w:unhideWhenUsed/>
    <w:rsid w:val="00C66D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45082">
      <w:bodyDiv w:val="1"/>
      <w:marLeft w:val="0"/>
      <w:marRight w:val="0"/>
      <w:marTop w:val="0"/>
      <w:marBottom w:val="0"/>
      <w:divBdr>
        <w:top w:val="none" w:sz="0" w:space="0" w:color="auto"/>
        <w:left w:val="none" w:sz="0" w:space="0" w:color="auto"/>
        <w:bottom w:val="none" w:sz="0" w:space="0" w:color="auto"/>
        <w:right w:val="none" w:sz="0" w:space="0" w:color="auto"/>
      </w:divBdr>
    </w:div>
    <w:div w:id="759830760">
      <w:bodyDiv w:val="1"/>
      <w:marLeft w:val="0"/>
      <w:marRight w:val="0"/>
      <w:marTop w:val="0"/>
      <w:marBottom w:val="0"/>
      <w:divBdr>
        <w:top w:val="none" w:sz="0" w:space="0" w:color="auto"/>
        <w:left w:val="none" w:sz="0" w:space="0" w:color="auto"/>
        <w:bottom w:val="none" w:sz="0" w:space="0" w:color="auto"/>
        <w:right w:val="none" w:sz="0" w:space="0" w:color="auto"/>
      </w:divBdr>
    </w:div>
    <w:div w:id="824324753">
      <w:bodyDiv w:val="1"/>
      <w:marLeft w:val="0"/>
      <w:marRight w:val="0"/>
      <w:marTop w:val="0"/>
      <w:marBottom w:val="0"/>
      <w:divBdr>
        <w:top w:val="none" w:sz="0" w:space="0" w:color="auto"/>
        <w:left w:val="none" w:sz="0" w:space="0" w:color="auto"/>
        <w:bottom w:val="none" w:sz="0" w:space="0" w:color="auto"/>
        <w:right w:val="none" w:sz="0" w:space="0" w:color="auto"/>
      </w:divBdr>
    </w:div>
    <w:div w:id="17774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pace.org/resources/knowledge-base/what-is-a-990-990-pf/" TargetMode="External"/><Relationship Id="rId5" Type="http://schemas.openxmlformats.org/officeDocument/2006/relationships/hyperlink" Target="https://www.irs.gov/charities-non-profits/exempt-organization-public-disclosure-and-availability-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due date for filing is the 15th day of the 5th month following the end of th</vt:lpstr>
      <vt:lpstr>    Penalties for Not Filing Form 990 on Time</vt:lpstr>
      <vt:lpstr>If a non-profit organization doesn’t file a Form 990 annual return or files late</vt:lpstr>
      <vt:lpstr>NEW ISSUES</vt:lpstr>
      <vt:lpstr>Interim Guidance on Parking Expense</vt:lpstr>
      <vt:lpstr>The 2017 tax reform act (the Act) enacted Section 512(a)(7), which provides that</vt:lpstr>
      <vt:lpstr>The Treasury Department and Internal Revenue Service recently issued Notice 2018</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Strehin_Iossif</dc:creator>
  <cp:keywords/>
  <dc:description/>
  <cp:lastModifiedBy>Strehin_Iossif</cp:lastModifiedBy>
  <cp:revision>8</cp:revision>
  <dcterms:created xsi:type="dcterms:W3CDTF">2019-10-14T17:28:00Z</dcterms:created>
  <dcterms:modified xsi:type="dcterms:W3CDTF">2019-10-15T18:30:00Z</dcterms:modified>
</cp:coreProperties>
</file>